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98" w:rsidRDefault="00087098" w:rsidP="0008709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87098">
        <w:rPr>
          <w:rFonts w:ascii="Times New Roman" w:hAnsi="Times New Roman" w:cs="Times New Roman"/>
          <w:b/>
          <w:color w:val="C00000"/>
          <w:sz w:val="36"/>
          <w:szCs w:val="36"/>
        </w:rPr>
        <w:t>Уважаемые родители!</w:t>
      </w:r>
    </w:p>
    <w:p w:rsidR="00087098" w:rsidRPr="00087098" w:rsidRDefault="00087098" w:rsidP="00087098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Наша консультация посвящена </w:t>
      </w:r>
      <w:r w:rsidRPr="000870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важнейшей теме</w:t>
      </w:r>
      <w:r w:rsidRPr="000870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защиты</w:t>
      </w:r>
      <w:r w:rsidRPr="0008709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прав и достоинств ребенка в законодательных актах</w:t>
      </w:r>
      <w:proofErr w:type="gramStart"/>
      <w:r w:rsidRPr="00087098">
        <w:rPr>
          <w:rFonts w:ascii="Verdana" w:eastAsia="Times New Roman" w:hAnsi="Verdana" w:cs="Times New Roman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 xml:space="preserve"> </w:t>
      </w:r>
      <w:r w:rsidR="008A59A1">
        <w:rPr>
          <w:rFonts w:ascii="Verdana" w:eastAsia="Times New Roman" w:hAnsi="Verdana" w:cs="Times New Roman"/>
          <w:i/>
          <w:iCs/>
          <w:color w:val="800080"/>
          <w:sz w:val="23"/>
          <w:szCs w:val="23"/>
          <w:bdr w:val="none" w:sz="0" w:space="0" w:color="auto" w:frame="1"/>
          <w:lang w:eastAsia="ru-RU"/>
        </w:rPr>
        <w:t>.</w:t>
      </w:r>
      <w:proofErr w:type="gramEnd"/>
    </w:p>
    <w:p w:rsidR="00610FBE" w:rsidRPr="005B67A8" w:rsidRDefault="00610FBE" w:rsidP="00087098">
      <w:pPr>
        <w:shd w:val="clear" w:color="auto" w:fill="FFFFFF"/>
        <w:spacing w:after="120" w:line="660" w:lineRule="atLeast"/>
        <w:jc w:val="center"/>
        <w:outlineLvl w:val="0"/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</w:pPr>
      <w:r w:rsidRPr="00602AFC">
        <w:rPr>
          <w:rFonts w:ascii="Harlow Solid Italic" w:eastAsia="Times New Roman" w:hAnsi="Harlow Solid Italic" w:cs="Arial"/>
          <w:b/>
          <w:bCs/>
          <w:noProof/>
          <w:color w:val="99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112395</wp:posOffset>
            </wp:positionV>
            <wp:extent cx="1482725" cy="1143000"/>
            <wp:effectExtent l="0" t="0" r="3175" b="0"/>
            <wp:wrapThrough wrapText="bothSides">
              <wp:wrapPolygon edited="0">
                <wp:start x="0" y="0"/>
                <wp:lineTo x="0" y="21240"/>
                <wp:lineTo x="21369" y="21240"/>
                <wp:lineTo x="21369" y="0"/>
                <wp:lineTo x="0" y="0"/>
              </wp:wrapPolygon>
            </wp:wrapThrough>
            <wp:docPr id="1" name="Рисунок 1" descr="C:\Users\Евгений\Desktop\17cc674eff41e8a0c3642f617b980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й\Desktop\17cc674eff41e8a0c3642f617b980bf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Ребёнок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и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те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права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,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которые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гарантирует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ему</w:t>
      </w:r>
      <w:r w:rsidRPr="005B67A8">
        <w:rPr>
          <w:rFonts w:ascii="Harlow Solid Italic" w:eastAsia="Times New Roman" w:hAnsi="Harlow Solid Italic" w:cs="Arial"/>
          <w:b/>
          <w:bCs/>
          <w:color w:val="990000"/>
          <w:kern w:val="36"/>
          <w:sz w:val="36"/>
          <w:szCs w:val="36"/>
          <w:lang w:eastAsia="ru-RU"/>
        </w:rPr>
        <w:t xml:space="preserve"> </w:t>
      </w:r>
      <w:r w:rsidRPr="005B67A8">
        <w:rPr>
          <w:rFonts w:ascii="Cambria" w:eastAsia="Times New Roman" w:hAnsi="Cambria" w:cs="Cambria"/>
          <w:b/>
          <w:bCs/>
          <w:color w:val="990000"/>
          <w:kern w:val="36"/>
          <w:sz w:val="36"/>
          <w:szCs w:val="36"/>
          <w:lang w:eastAsia="ru-RU"/>
        </w:rPr>
        <w:t>государство</w:t>
      </w:r>
    </w:p>
    <w:p w:rsidR="00610FBE" w:rsidRPr="001D0B6A" w:rsidRDefault="00610FBE" w:rsidP="00610FBE">
      <w:pPr>
        <w:rPr>
          <w:sz w:val="28"/>
          <w:szCs w:val="28"/>
          <w:lang w:eastAsia="ru-RU"/>
        </w:rPr>
      </w:pPr>
      <w:r w:rsidRPr="001D0B6A">
        <w:rPr>
          <w:sz w:val="28"/>
          <w:szCs w:val="28"/>
          <w:lang w:eastAsia="ru-RU"/>
        </w:rPr>
        <w:t>Любое государство охраняет жизни подрастающего поколения, которое через несколько лет сменит нынешнее.</w:t>
      </w:r>
    </w:p>
    <w:p w:rsidR="00610FBE" w:rsidRPr="001D0B6A" w:rsidRDefault="00610FBE" w:rsidP="00610FBE">
      <w:pPr>
        <w:rPr>
          <w:sz w:val="28"/>
          <w:szCs w:val="28"/>
          <w:lang w:eastAsia="ru-RU"/>
        </w:rPr>
      </w:pPr>
      <w:r w:rsidRPr="001D0B6A">
        <w:rPr>
          <w:sz w:val="28"/>
          <w:szCs w:val="28"/>
          <w:lang w:eastAsia="ru-RU"/>
        </w:rPr>
        <w:t xml:space="preserve">Права детей – являются самыми важными и обязательными для исполнения, которые важнее даже, чем права других взрослых людей, потому что именно дети, как никто другой, нуждаются в полной защите государства, в опеке и в воспитании. Всё это объясняется тем, что дети самостоятельно не смогут защитить свои права без помощи взрослых людей и законов в государстве, поэтому в настоящее время проблеме охраны детства на всех уровнях уделяется первостепенное внимание. А какие же документы помогают защищать права ребёнка? К </w:t>
      </w:r>
      <w:proofErr w:type="gramStart"/>
      <w:r w:rsidRPr="001D0B6A">
        <w:rPr>
          <w:sz w:val="28"/>
          <w:szCs w:val="28"/>
          <w:lang w:eastAsia="ru-RU"/>
        </w:rPr>
        <w:t>основным международным документам, касающимся прав детей относятся</w:t>
      </w:r>
      <w:proofErr w:type="gramEnd"/>
      <w:r w:rsidRPr="001D0B6A">
        <w:rPr>
          <w:sz w:val="28"/>
          <w:szCs w:val="28"/>
          <w:lang w:eastAsia="ru-RU"/>
        </w:rPr>
        <w:t>:</w:t>
      </w:r>
    </w:p>
    <w:p w:rsidR="00610FBE" w:rsidRPr="001D0B6A" w:rsidRDefault="00610FBE" w:rsidP="00610FBE">
      <w:pPr>
        <w:rPr>
          <w:sz w:val="28"/>
          <w:szCs w:val="28"/>
          <w:lang w:eastAsia="ru-RU"/>
        </w:rPr>
      </w:pPr>
      <w:r w:rsidRPr="001D0B6A">
        <w:rPr>
          <w:sz w:val="28"/>
          <w:szCs w:val="28"/>
          <w:lang w:eastAsia="ru-RU"/>
        </w:rPr>
        <w:t>– Декларация прав ребенка (1959)</w:t>
      </w:r>
      <w:r w:rsidRPr="001D0B6A">
        <w:rPr>
          <w:sz w:val="28"/>
          <w:szCs w:val="28"/>
          <w:lang w:eastAsia="ru-RU"/>
        </w:rPr>
        <w:br/>
        <w:t>– Конвенция ООН о правах ребенка (1989)</w:t>
      </w:r>
      <w:r w:rsidRPr="001D0B6A">
        <w:rPr>
          <w:sz w:val="28"/>
          <w:szCs w:val="28"/>
          <w:lang w:eastAsia="ru-RU"/>
        </w:rPr>
        <w:br/>
        <w:t>– Всемирная декларация об обеспечении выживания, защиты и развития детей (1990)</w:t>
      </w:r>
    </w:p>
    <w:p w:rsidR="00610FBE" w:rsidRPr="00AA038A" w:rsidRDefault="00610FBE" w:rsidP="00610FBE">
      <w:pPr>
        <w:rPr>
          <w:sz w:val="28"/>
          <w:szCs w:val="28"/>
          <w:lang w:eastAsia="ru-RU"/>
        </w:rPr>
      </w:pPr>
      <w:r w:rsidRPr="00F26996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Декларация прав ребенка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 </w:t>
      </w:r>
      <w:r w:rsidRPr="00AA038A">
        <w:rPr>
          <w:sz w:val="28"/>
          <w:szCs w:val="28"/>
          <w:lang w:eastAsia="ru-RU"/>
        </w:rPr>
        <w:t>являет</w:t>
      </w:r>
      <w:r>
        <w:rPr>
          <w:sz w:val="28"/>
          <w:szCs w:val="28"/>
          <w:lang w:eastAsia="ru-RU"/>
        </w:rPr>
        <w:t>ся</w:t>
      </w:r>
      <w:r w:rsidRPr="00AA038A">
        <w:rPr>
          <w:sz w:val="28"/>
          <w:szCs w:val="28"/>
          <w:lang w:eastAsia="ru-RU"/>
        </w:rPr>
        <w:t xml:space="preserve">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AA038A">
        <w:rPr>
          <w:sz w:val="28"/>
          <w:szCs w:val="28"/>
          <w:lang w:eastAsia="ru-RU"/>
        </w:rPr>
        <w:t xml:space="preserve">Особое </w:t>
      </w:r>
      <w:r>
        <w:rPr>
          <w:sz w:val="28"/>
          <w:szCs w:val="28"/>
          <w:lang w:eastAsia="ru-RU"/>
        </w:rPr>
        <w:t xml:space="preserve">внимание в Декларации уделяется </w:t>
      </w:r>
      <w:r w:rsidRPr="00AA038A">
        <w:rPr>
          <w:sz w:val="28"/>
          <w:szCs w:val="28"/>
          <w:lang w:eastAsia="ru-RU"/>
        </w:rPr>
        <w:t>защите ребенка. На основе Декларации прав ребенка был ра</w:t>
      </w:r>
      <w:r>
        <w:rPr>
          <w:sz w:val="28"/>
          <w:szCs w:val="28"/>
          <w:lang w:eastAsia="ru-RU"/>
        </w:rPr>
        <w:t>зработан международный документ</w:t>
      </w:r>
      <w:r w:rsidRPr="00F26996">
        <w:rPr>
          <w:sz w:val="28"/>
          <w:szCs w:val="28"/>
          <w:lang w:eastAsia="ru-RU"/>
        </w:rPr>
        <w:t>–Конвенция о правах ребенка.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lastRenderedPageBreak/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– на воспитание;</w:t>
      </w:r>
      <w:r w:rsidRPr="00F26996">
        <w:rPr>
          <w:sz w:val="28"/>
          <w:szCs w:val="28"/>
          <w:lang w:eastAsia="ru-RU"/>
        </w:rPr>
        <w:br/>
        <w:t>– на развитие;</w:t>
      </w:r>
      <w:r w:rsidRPr="00F26996">
        <w:rPr>
          <w:sz w:val="28"/>
          <w:szCs w:val="28"/>
          <w:lang w:eastAsia="ru-RU"/>
        </w:rPr>
        <w:br/>
        <w:t>– на защиту;</w:t>
      </w:r>
      <w:r w:rsidRPr="00F26996">
        <w:rPr>
          <w:sz w:val="28"/>
          <w:szCs w:val="28"/>
          <w:lang w:eastAsia="ru-RU"/>
        </w:rPr>
        <w:br/>
        <w:t>– на активное участие в жизни общества.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На основе Конвенции разрабатываются нормативно-правовые документы федерального и регионального уровней.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Для создания и развития механизма реализации прав ребенка на защиту, декларированных в Конвенции и гарантированных Конституцией РФ, принят целый ряд законодательных актов – Семейный Кодекс РФ, Закон «Об основных гарантиях прав ребенка в РФ», Закон «Об образовании».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Семейный Кодекс РФ</w:t>
      </w:r>
      <w:r>
        <w:rPr>
          <w:sz w:val="28"/>
          <w:szCs w:val="28"/>
          <w:lang w:eastAsia="ru-RU"/>
        </w:rPr>
        <w:t xml:space="preserve"> – </w:t>
      </w:r>
      <w:r w:rsidRPr="00F26996">
        <w:rPr>
          <w:sz w:val="28"/>
          <w:szCs w:val="28"/>
          <w:lang w:eastAsia="ru-RU"/>
        </w:rPr>
        <w:t>документ, регулирующий правовые вопро</w:t>
      </w:r>
      <w:r>
        <w:rPr>
          <w:sz w:val="28"/>
          <w:szCs w:val="28"/>
          <w:lang w:eastAsia="ru-RU"/>
        </w:rPr>
        <w:t xml:space="preserve">сы семейных отношений на основе </w:t>
      </w:r>
      <w:r w:rsidRPr="00F26996">
        <w:rPr>
          <w:sz w:val="28"/>
          <w:szCs w:val="28"/>
          <w:lang w:eastAsia="ru-RU"/>
        </w:rPr>
        <w:t xml:space="preserve"> действующей Конституции РФ и нового гражданского законодательства.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Раздел IV Семейного Кодекса РФ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610FBE" w:rsidRPr="00F26996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В семейном Кодексе РФ законодательно закреплены общепризнанные принципы и нормы международного права «ребенка на жизнь и воспитание в семье, на защиту, на возможность свободно выражать свое мнение».</w:t>
      </w:r>
    </w:p>
    <w:p w:rsidR="00610FBE" w:rsidRPr="00C64147" w:rsidRDefault="00610FBE" w:rsidP="00610FBE">
      <w:pPr>
        <w:rPr>
          <w:sz w:val="28"/>
          <w:szCs w:val="28"/>
          <w:lang w:eastAsia="ru-RU"/>
        </w:rPr>
      </w:pPr>
      <w:r w:rsidRPr="00F26996">
        <w:rPr>
          <w:sz w:val="28"/>
          <w:szCs w:val="28"/>
          <w:lang w:eastAsia="ru-RU"/>
        </w:rPr>
        <w:t>В целях «создания правовых, социально-экономических условий для реализации прав и законных интересов ребенка», предусмо</w:t>
      </w:r>
      <w:r>
        <w:rPr>
          <w:sz w:val="28"/>
          <w:szCs w:val="28"/>
          <w:lang w:eastAsia="ru-RU"/>
        </w:rPr>
        <w:t xml:space="preserve">тренных Конституцией РФ, принят </w:t>
      </w: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ФЗ «Об основных гарантиях прав ребенка в Российской Федерации».</w:t>
      </w:r>
      <w:r>
        <w:rPr>
          <w:sz w:val="28"/>
          <w:szCs w:val="28"/>
          <w:lang w:eastAsia="ru-RU"/>
        </w:rPr>
        <w:t xml:space="preserve"> </w:t>
      </w:r>
      <w:r w:rsidRPr="00F26996">
        <w:rPr>
          <w:sz w:val="28"/>
          <w:szCs w:val="28"/>
          <w:lang w:eastAsia="ru-RU"/>
        </w:rPr>
        <w:t>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</w:t>
      </w:r>
      <w:r w:rsidRPr="00C64147">
        <w:rPr>
          <w:sz w:val="28"/>
          <w:szCs w:val="28"/>
          <w:lang w:eastAsia="ru-RU"/>
        </w:rPr>
        <w:t xml:space="preserve">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lastRenderedPageBreak/>
        <w:t>Конвенция ООН о правах ребенка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C64147">
        <w:rPr>
          <w:sz w:val="28"/>
          <w:szCs w:val="28"/>
          <w:lang w:eastAsia="ru-RU"/>
        </w:rPr>
        <w:t>дает определение понятия «жестокое обращение» и определяет меры защиты (ст. 19), а также устанавливает: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обеспечение в максимально возможной степени здорового развития ребенка (ст. 6);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обеспечение мер по борьбе с болезнями и недоеданием (ст. 24);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признание права каждого ребенка на уровень жизни, необходимый для физического, умственного, духовного, нравственного и социального развития (ст. 24);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защиту ребенка от сексуального посягательства (ст. 34);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защиту ребенка от других форм жестокого обращения (ст. 37);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меры помощи ребенку, явившемуся жертвой жестокого обращения (ст. 39).</w:t>
      </w:r>
    </w:p>
    <w:p w:rsidR="00610FBE" w:rsidRPr="00AA038A" w:rsidRDefault="00610FBE" w:rsidP="00610FBE">
      <w:pPr>
        <w:shd w:val="clear" w:color="auto" w:fill="FFFFFF"/>
        <w:spacing w:before="195" w:after="195" w:line="394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Уголовный кодекс</w:t>
      </w:r>
      <w:r>
        <w:rPr>
          <w:rFonts w:ascii="Tahoma" w:eastAsia="Times New Roman" w:hAnsi="Tahoma" w:cs="Tahoma"/>
          <w:b/>
          <w:bCs/>
          <w:i/>
          <w:iCs/>
          <w:color w:val="555555"/>
          <w:sz w:val="23"/>
          <w:szCs w:val="23"/>
          <w:lang w:eastAsia="ru-RU"/>
        </w:rPr>
        <w:t xml:space="preserve">  </w:t>
      </w:r>
      <w:r w:rsidRPr="00C64147">
        <w:rPr>
          <w:sz w:val="28"/>
          <w:szCs w:val="28"/>
          <w:lang w:eastAsia="ru-RU"/>
        </w:rPr>
        <w:t>предусматривает ответственность</w:t>
      </w:r>
      <w:r w:rsidRPr="00AA038A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:</w:t>
      </w:r>
    </w:p>
    <w:p w:rsidR="00610FBE" w:rsidRPr="00AA038A" w:rsidRDefault="00610FBE" w:rsidP="00610FBE">
      <w:pPr>
        <w:numPr>
          <w:ilvl w:val="0"/>
          <w:numId w:val="2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1"/>
          <w:szCs w:val="21"/>
          <w:lang w:eastAsia="ru-RU"/>
        </w:rPr>
      </w:pPr>
      <w:r w:rsidRPr="00AA038A">
        <w:rPr>
          <w:rFonts w:ascii="Tahoma" w:eastAsia="Times New Roman" w:hAnsi="Tahoma" w:cs="Tahoma"/>
          <w:color w:val="3B039B"/>
          <w:sz w:val="21"/>
          <w:szCs w:val="21"/>
          <w:lang w:eastAsia="ru-RU"/>
        </w:rPr>
        <w:t>за совершение физического и сексуального насилия, в т.ч. и в отношении несовершеннолетних (ст. 106 – 136);</w:t>
      </w:r>
    </w:p>
    <w:p w:rsidR="00610FBE" w:rsidRPr="00AA038A" w:rsidRDefault="00610FBE" w:rsidP="00610FBE">
      <w:pPr>
        <w:numPr>
          <w:ilvl w:val="0"/>
          <w:numId w:val="2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1"/>
          <w:szCs w:val="21"/>
          <w:lang w:eastAsia="ru-RU"/>
        </w:rPr>
      </w:pPr>
      <w:r w:rsidRPr="00AA038A">
        <w:rPr>
          <w:rFonts w:ascii="Tahoma" w:eastAsia="Times New Roman" w:hAnsi="Tahoma" w:cs="Tahoma"/>
          <w:color w:val="3B039B"/>
          <w:sz w:val="21"/>
          <w:szCs w:val="21"/>
          <w:lang w:eastAsia="ru-RU"/>
        </w:rPr>
        <w:t>за преступление против семьи и несовершеннолетних (ст. 150 – 157).</w:t>
      </w:r>
    </w:p>
    <w:p w:rsidR="00610FBE" w:rsidRPr="00AA038A" w:rsidRDefault="00610FBE" w:rsidP="00610FBE">
      <w:pPr>
        <w:shd w:val="clear" w:color="auto" w:fill="FFFFFF"/>
        <w:spacing w:before="195" w:after="195" w:line="394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Семейный Кодекс РФ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 </w:t>
      </w:r>
      <w:r w:rsidRPr="00C64147">
        <w:rPr>
          <w:sz w:val="28"/>
          <w:szCs w:val="28"/>
          <w:lang w:eastAsia="ru-RU"/>
        </w:rPr>
        <w:t>гарантирует: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право ребенка на уважение его человеческого достоинства (ст. 54);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право ребенка на защиту и обязанности органа опеки и попечительства принять меры по защите ребенка (ст. 56);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меру «лишение родительских прав» как меру защиты детей от жестокого обращения с ними в семье (ст. 69);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немедленное отбирание ребенка при непосредственной угрозе жизни и здоровью (сит. 77).</w:t>
      </w:r>
    </w:p>
    <w:p w:rsidR="00610FBE" w:rsidRPr="00C64147" w:rsidRDefault="00610FBE" w:rsidP="00610FBE">
      <w:pPr>
        <w:shd w:val="clear" w:color="auto" w:fill="FFFFFF"/>
        <w:spacing w:after="0" w:line="394" w:lineRule="atLeast"/>
        <w:jc w:val="both"/>
        <w:rPr>
          <w:sz w:val="28"/>
          <w:szCs w:val="28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Закон «Об образовании в РФ»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 </w:t>
      </w:r>
      <w:r w:rsidRPr="00C64147">
        <w:rPr>
          <w:sz w:val="28"/>
          <w:szCs w:val="28"/>
          <w:lang w:eastAsia="ru-RU"/>
        </w:rPr>
        <w:t>утверждает право детей, обучающихся во всех образовательных организациях, на «уважение их чел</w:t>
      </w:r>
      <w:r>
        <w:rPr>
          <w:sz w:val="28"/>
          <w:szCs w:val="28"/>
          <w:lang w:eastAsia="ru-RU"/>
        </w:rPr>
        <w:t xml:space="preserve">овеческого достоинства» (ст. 5). </w:t>
      </w:r>
      <w:r w:rsidRPr="00C64147">
        <w:rPr>
          <w:sz w:val="28"/>
          <w:szCs w:val="28"/>
          <w:lang w:eastAsia="ru-RU"/>
        </w:rPr>
        <w:t>ДОУ в своей деятельности руководствуется федеральными законами, указами и распоряжениями Президента РФ, другими постановлениями и распоряжениями Правительства РФ, Правилами внутреннего расп</w:t>
      </w:r>
      <w:r>
        <w:rPr>
          <w:sz w:val="28"/>
          <w:szCs w:val="28"/>
          <w:lang w:eastAsia="ru-RU"/>
        </w:rPr>
        <w:t>орядка воспитанников, Уставом М</w:t>
      </w:r>
      <w:r w:rsidRPr="00C64147">
        <w:rPr>
          <w:sz w:val="28"/>
          <w:szCs w:val="28"/>
          <w:lang w:eastAsia="ru-RU"/>
        </w:rPr>
        <w:t>ДОУ.</w:t>
      </w:r>
      <w:r w:rsidRPr="00C64147">
        <w:rPr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FBE" w:rsidRPr="00AA038A" w:rsidRDefault="00610FBE" w:rsidP="00610FBE">
      <w:pPr>
        <w:shd w:val="clear" w:color="auto" w:fill="FFFFFF"/>
        <w:spacing w:before="195" w:after="195" w:line="394" w:lineRule="atLeast"/>
        <w:jc w:val="both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Устав ДОУ</w:t>
      </w:r>
      <w:r>
        <w:rPr>
          <w:rFonts w:ascii="Tahoma" w:eastAsia="Times New Roman" w:hAnsi="Tahoma" w:cs="Tahoma"/>
          <w:b/>
          <w:bCs/>
          <w:i/>
          <w:iCs/>
          <w:color w:val="555555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– </w:t>
      </w:r>
      <w:r w:rsidRPr="00C64147">
        <w:rPr>
          <w:sz w:val="28"/>
          <w:szCs w:val="28"/>
          <w:lang w:eastAsia="ru-RU"/>
        </w:rPr>
        <w:t>нормативный документ, в котором представлены права и обязанности всех участников образовательных отношений: детей, педагогов, родителей</w:t>
      </w:r>
      <w:r w:rsidRPr="00AA038A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8"/>
          <w:szCs w:val="28"/>
          <w:lang w:eastAsia="ru-RU"/>
        </w:rPr>
        <w:t>Конвенция о правах ребенка</w:t>
      </w: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</w:t>
      </w:r>
      <w:r w:rsidRPr="00AA038A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— </w:t>
      </w:r>
      <w:r w:rsidRPr="00C64147">
        <w:rPr>
          <w:sz w:val="28"/>
          <w:szCs w:val="28"/>
          <w:lang w:eastAsia="ru-RU"/>
        </w:rPr>
        <w:t xml:space="preserve">правовой документ высокого международного стандарта и большого педагогического значения. Она </w:t>
      </w:r>
      <w:r w:rsidRPr="00C64147">
        <w:rPr>
          <w:sz w:val="28"/>
          <w:szCs w:val="28"/>
          <w:lang w:eastAsia="ru-RU"/>
        </w:rPr>
        <w:lastRenderedPageBreak/>
        <w:t>провозглашает ребенка полноценной и полноправной личностью, самостоятельным субъектом права и призывает строить вза</w:t>
      </w:r>
      <w:r w:rsidRPr="00C64147">
        <w:rPr>
          <w:sz w:val="28"/>
          <w:szCs w:val="28"/>
          <w:lang w:eastAsia="ru-RU"/>
        </w:rPr>
        <w:softHyphen/>
        <w:t xml:space="preserve">имоотношения взрослого и ребенка на нравственно-правовых нормах, в основе которых лежит подлинный гуманизм, демократизм, </w:t>
      </w:r>
      <w:r>
        <w:rPr>
          <w:sz w:val="28"/>
          <w:szCs w:val="28"/>
          <w:lang w:eastAsia="ru-RU"/>
        </w:rPr>
        <w:t xml:space="preserve">уважение и бережное отношение к </w:t>
      </w:r>
      <w:r w:rsidRPr="00C64147">
        <w:rPr>
          <w:sz w:val="28"/>
          <w:szCs w:val="28"/>
          <w:lang w:eastAsia="ru-RU"/>
        </w:rPr>
        <w:t>личности ребенка, его мнениям и взглядам.</w:t>
      </w:r>
      <w:r w:rsidRPr="00C64147">
        <w:rPr>
          <w:sz w:val="28"/>
          <w:szCs w:val="28"/>
          <w:lang w:eastAsia="ru-RU"/>
        </w:rPr>
        <w:br/>
        <w:t>Реализация прав ребенка включает: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защиту его от всех форм жестокого обращения,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права на охрану  жизни и здоровья,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защиту его права на образование,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права на игру,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права на сохранение своей индивидуальности.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Право ребенка на защиту его от всех форм жестокого обращения</w:t>
      </w:r>
      <w:r w:rsidRPr="00C64147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sz w:val="28"/>
          <w:szCs w:val="28"/>
          <w:lang w:eastAsia="ru-RU"/>
        </w:rPr>
        <w:t>Нарушение прав ребенка проявляется чаще всего в жестоком и безответственном обращении с ним.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sz w:val="28"/>
          <w:szCs w:val="28"/>
          <w:lang w:eastAsia="ru-RU"/>
        </w:rPr>
        <w:t>Нарушением прав ребенка можно считать: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Лишение свободы движения.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Уход родителя из дома на несколько часов и оставление ребенка одного (ст. 156 Уго</w:t>
      </w:r>
      <w:r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ловного Кодекса РФ предполагает</w:t>
      </w: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, что запирание на длительное время квалифицируется как неисполнение обязанностей по воспитанию несовершеннолетнего).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Применение физического насилия к ребенку.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Унижение достоинств ребенка — грубые замечания, высказывания в адрес ребенка – (воспитывает в ребенке озлобленность, неуверенность в себе, комплекс неполноценности, занижение самооценки, замкнутость, трусость, садизм)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Угрозы в адрес ребенка.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Ложь и невыполнение взрослыми своих обещаний.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Отсутствие элементарной заботы о ребенке, пренебрежение его нуждами.</w:t>
      </w:r>
    </w:p>
    <w:p w:rsidR="00610FBE" w:rsidRPr="00C64147" w:rsidRDefault="00610FBE" w:rsidP="00610FBE">
      <w:pPr>
        <w:numPr>
          <w:ilvl w:val="0"/>
          <w:numId w:val="1"/>
        </w:numPr>
        <w:shd w:val="clear" w:color="auto" w:fill="FFFFFF"/>
        <w:spacing w:before="45" w:after="0" w:line="330" w:lineRule="atLeast"/>
        <w:ind w:left="165"/>
        <w:jc w:val="both"/>
        <w:rPr>
          <w:rFonts w:ascii="Tahoma" w:eastAsia="Times New Roman" w:hAnsi="Tahoma" w:cs="Tahoma"/>
          <w:color w:val="3B039B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t>Отсутствие нормального питания, одежды, жилья, образо</w:t>
      </w:r>
      <w:r w:rsidRPr="00C64147">
        <w:rPr>
          <w:rFonts w:ascii="Tahoma" w:eastAsia="Times New Roman" w:hAnsi="Tahoma" w:cs="Tahoma"/>
          <w:color w:val="3B039B"/>
          <w:sz w:val="24"/>
          <w:szCs w:val="24"/>
          <w:lang w:eastAsia="ru-RU"/>
        </w:rPr>
        <w:softHyphen/>
        <w:t>вания, медицинской помощи.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Право ребенка на жизнь и здоровье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sz w:val="28"/>
          <w:szCs w:val="28"/>
          <w:lang w:eastAsia="ru-RU"/>
        </w:rPr>
        <w:t xml:space="preserve">Конвенция о правах ребенка определяет, что «каждый ребенок имеет неотъемлемое право на жизнь» (ст.6), а государства и взрослые должны обеспечить «право ребенка на уровень жизни, необходимый для физического, умственного, духовного, нравственного и социального развития» (ст.27, п.1). В России принят ряд нормативно-правовых документов, направленных на охрану здоровья детей. В Законе «Об </w:t>
      </w:r>
      <w:r w:rsidRPr="00C64147">
        <w:rPr>
          <w:sz w:val="28"/>
          <w:szCs w:val="28"/>
          <w:lang w:eastAsia="ru-RU"/>
        </w:rPr>
        <w:lastRenderedPageBreak/>
        <w:t>образовании» указано, что «образовательное учреждение создает условия, гарантирующие охрану и укрепление здоровья обучающихся воспитанников».</w:t>
      </w:r>
    </w:p>
    <w:p w:rsidR="00610FBE" w:rsidRPr="00CC0321" w:rsidRDefault="00610FBE" w:rsidP="00610FBE">
      <w:pPr>
        <w:shd w:val="clear" w:color="auto" w:fill="FFFFFF"/>
        <w:spacing w:before="195" w:after="195" w:line="394" w:lineRule="atLeast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  <w:r w:rsidRPr="00C64147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Право ребенка на образование</w:t>
      </w:r>
    </w:p>
    <w:p w:rsidR="00610FBE" w:rsidRPr="00C64147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64147">
        <w:rPr>
          <w:sz w:val="28"/>
          <w:szCs w:val="28"/>
          <w:lang w:eastAsia="ru-RU"/>
        </w:rPr>
        <w:t>Статьи 28–29 Конвенции определяют право ребенка на образование как возможность посещать образовательное учреждение, призванное обеспечивать подготовку ребенка к сознательной жизни в свободном обществе.</w:t>
      </w:r>
      <w:r>
        <w:rPr>
          <w:sz w:val="28"/>
          <w:szCs w:val="28"/>
          <w:lang w:eastAsia="ru-RU"/>
        </w:rPr>
        <w:t xml:space="preserve"> </w:t>
      </w:r>
      <w:r w:rsidRPr="00C64147">
        <w:rPr>
          <w:sz w:val="28"/>
          <w:szCs w:val="28"/>
          <w:lang w:eastAsia="ru-RU"/>
        </w:rPr>
        <w:t>Все программы дошкольного образования направлены на обеспечение в ДОУ права ребенка на образование. 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 подходами к организации педагогического процесса детском саду. Защитить права ребенка призвано и инструктивно методическое письмо Министерства образования РФ «О гигиенических требованиях к максимальной нагрузке на детей дошкольного возраста в организованных формах обучения» от 14. 03. 2000г., в котором четко указывается продолжительность занятий с детьми в разных возрастных группах детского сада, их количество в неделю, а также максимальная нагрузка на ребенка в системе дополнительного образования.</w:t>
      </w:r>
    </w:p>
    <w:p w:rsidR="00610FBE" w:rsidRPr="00CC0321" w:rsidRDefault="00610FBE" w:rsidP="00610FBE">
      <w:pPr>
        <w:shd w:val="clear" w:color="auto" w:fill="FFFFFF"/>
        <w:spacing w:before="195" w:after="195" w:line="394" w:lineRule="atLeast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  <w:r w:rsidRPr="00CC0321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Право ребенка на игру</w:t>
      </w:r>
    </w:p>
    <w:p w:rsidR="00610FBE" w:rsidRPr="00CC0321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CC0321">
        <w:rPr>
          <w:sz w:val="28"/>
          <w:szCs w:val="28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и «общество и органы публичной власти должны прилагать усилия к т</w:t>
      </w:r>
      <w:r>
        <w:rPr>
          <w:sz w:val="28"/>
          <w:szCs w:val="28"/>
          <w:lang w:eastAsia="ru-RU"/>
        </w:rPr>
        <w:t>ому, чтобы способствовать осуще</w:t>
      </w:r>
      <w:r w:rsidRPr="00CC0321">
        <w:rPr>
          <w:sz w:val="28"/>
          <w:szCs w:val="28"/>
          <w:lang w:eastAsia="ru-RU"/>
        </w:rPr>
        <w:t>ствлению указанного права», — утверждает Декларация прав ребенка.</w:t>
      </w:r>
    </w:p>
    <w:p w:rsidR="00610FBE" w:rsidRDefault="00610FBE" w:rsidP="00610FBE">
      <w:pPr>
        <w:shd w:val="clear" w:color="auto" w:fill="FFFFFF"/>
        <w:spacing w:before="195" w:after="195" w:line="394" w:lineRule="atLeast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  <w:r w:rsidRPr="00CC0321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Право ребенка на сохранение своей индивидуальности </w:t>
      </w:r>
    </w:p>
    <w:p w:rsidR="00610FBE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 w:rsidRPr="00883B1E">
        <w:rPr>
          <w:sz w:val="28"/>
          <w:szCs w:val="28"/>
          <w:lang w:eastAsia="ru-RU"/>
        </w:rPr>
        <w:t>«Государства-участники</w:t>
      </w:r>
      <w:r>
        <w:rPr>
          <w:sz w:val="28"/>
          <w:szCs w:val="28"/>
          <w:lang w:eastAsia="ru-RU"/>
        </w:rPr>
        <w:t xml:space="preserve"> Конвенции обязуются уважать права ребенка на сохранение его индивидуальности» (ст. 8) </w:t>
      </w:r>
      <w:r w:rsidRPr="00883B1E">
        <w:rPr>
          <w:sz w:val="28"/>
          <w:szCs w:val="28"/>
          <w:lang w:eastAsia="ru-RU"/>
        </w:rPr>
        <w:t xml:space="preserve"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</w:t>
      </w:r>
      <w:r w:rsidRPr="00883B1E">
        <w:rPr>
          <w:sz w:val="28"/>
          <w:szCs w:val="28"/>
          <w:lang w:eastAsia="ru-RU"/>
        </w:rPr>
        <w:lastRenderedPageBreak/>
        <w:t>понимать личность ребен</w:t>
      </w:r>
      <w:r>
        <w:rPr>
          <w:sz w:val="28"/>
          <w:szCs w:val="28"/>
          <w:lang w:eastAsia="ru-RU"/>
        </w:rPr>
        <w:t>ка, но и помогать малышу сохраня</w:t>
      </w:r>
      <w:r w:rsidRPr="00883B1E">
        <w:rPr>
          <w:sz w:val="28"/>
          <w:szCs w:val="28"/>
          <w:lang w:eastAsia="ru-RU"/>
        </w:rPr>
        <w:t>ть и развивать свою индивидуальность.</w:t>
      </w:r>
    </w:p>
    <w:p w:rsidR="00610FBE" w:rsidRDefault="00610FBE" w:rsidP="00610FBE">
      <w:pPr>
        <w:shd w:val="clear" w:color="auto" w:fill="FFFFFF"/>
        <w:spacing w:before="195" w:after="195" w:line="39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 наше время не стоит забывать о детях и их правах, ведь дети – это будущее нашей страны, от них зависит все человечество. На сегодняшний день существует множество документов, нормативно-правовых актов, которые помогают регулировать права ребенка, и каждый гражданин нашей страны должен ознакомиться с этими документами. </w:t>
      </w:r>
    </w:p>
    <w:p w:rsidR="00087098" w:rsidRDefault="00087098"/>
    <w:p w:rsidR="00E64307" w:rsidRDefault="00E64307" w:rsidP="00087098"/>
    <w:p w:rsidR="00087098" w:rsidRDefault="00087098" w:rsidP="00087098"/>
    <w:p w:rsidR="00087098" w:rsidRPr="008A7AA6" w:rsidRDefault="00087098" w:rsidP="00087098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8A7AA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087098" w:rsidRPr="005C0345" w:rsidRDefault="00087098" w:rsidP="00087098">
      <w:pPr>
        <w:shd w:val="clear" w:color="auto" w:fill="FFFFFF"/>
        <w:spacing w:after="240" w:line="343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87098" w:rsidRPr="00087098" w:rsidRDefault="00087098" w:rsidP="00087098">
      <w:pPr>
        <w:ind w:firstLine="708"/>
        <w:rPr>
          <w:rFonts w:ascii="Times New Roman" w:hAnsi="Times New Roman" w:cs="Times New Roman"/>
          <w:sz w:val="36"/>
          <w:szCs w:val="36"/>
        </w:rPr>
      </w:pPr>
    </w:p>
    <w:sectPr w:rsidR="00087098" w:rsidRPr="00087098" w:rsidSect="00610F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A44"/>
    <w:multiLevelType w:val="multilevel"/>
    <w:tmpl w:val="EB5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95C29"/>
    <w:multiLevelType w:val="multilevel"/>
    <w:tmpl w:val="D5AC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0FBE"/>
    <w:rsid w:val="00087098"/>
    <w:rsid w:val="00610FBE"/>
    <w:rsid w:val="0086139D"/>
    <w:rsid w:val="008A59A1"/>
    <w:rsid w:val="00E6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Дедуля Женя</dc:creator>
  <cp:keywords/>
  <dc:description/>
  <cp:lastModifiedBy>Лена</cp:lastModifiedBy>
  <cp:revision>3</cp:revision>
  <dcterms:created xsi:type="dcterms:W3CDTF">2020-12-06T08:25:00Z</dcterms:created>
  <dcterms:modified xsi:type="dcterms:W3CDTF">2020-12-07T14:54:00Z</dcterms:modified>
</cp:coreProperties>
</file>