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Воспитывает всё: люди,</w:t>
      </w:r>
    </w:p>
    <w:p w:rsidR="00D174A5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вещи, явления, но прежде</w:t>
      </w:r>
    </w:p>
    <w:p w:rsidR="00D174A5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всего и дольше всего- люди</w:t>
      </w:r>
    </w:p>
    <w:p w:rsidR="00D174A5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Из них на первом месте-</w:t>
      </w:r>
    </w:p>
    <w:p w:rsidR="00D174A5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родители и педагоги</w:t>
      </w:r>
    </w:p>
    <w:p w:rsidR="00D174A5" w:rsidRPr="00947700" w:rsidRDefault="00D174A5" w:rsidP="00D174A5">
      <w:pPr>
        <w:jc w:val="right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>А.С.Макаренко.</w:t>
      </w:r>
    </w:p>
    <w:p w:rsidR="00D174A5" w:rsidRPr="00947700" w:rsidRDefault="00D174A5" w:rsidP="00D174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7700">
        <w:rPr>
          <w:rFonts w:ascii="Times New Roman" w:hAnsi="Times New Roman" w:cs="Times New Roman"/>
          <w:b/>
          <w:color w:val="FF0000"/>
          <w:sz w:val="36"/>
          <w:szCs w:val="36"/>
        </w:rPr>
        <w:t>Дорогие родители!</w:t>
      </w:r>
    </w:p>
    <w:p w:rsidR="00947700" w:rsidRPr="00947700" w:rsidRDefault="00D174A5" w:rsidP="0094770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47700">
        <w:rPr>
          <w:rFonts w:ascii="Times New Roman" w:hAnsi="Times New Roman" w:cs="Times New Roman"/>
          <w:sz w:val="28"/>
          <w:szCs w:val="28"/>
        </w:rPr>
        <w:t xml:space="preserve">Многие педагоги убеждены, что рисование должно предшествовать письму. Замечено: дети, которые много рисуют, быстрее обучаются письму, потому что рисунок хорошо укрепляет руку, рисуя, дети постигают красоту мира, и его законы, проходят азы геометрии и развивают пространственное мышление. Рисование приучает к собранности, усидчивости и трудолюбию. Надеюсь, мои </w:t>
      </w:r>
      <w:r w:rsidR="00947700" w:rsidRPr="00947700">
        <w:rPr>
          <w:rFonts w:ascii="Times New Roman" w:hAnsi="Times New Roman" w:cs="Times New Roman"/>
          <w:sz w:val="28"/>
          <w:szCs w:val="28"/>
        </w:rPr>
        <w:t xml:space="preserve">консультации будут вам в помощь. </w:t>
      </w:r>
    </w:p>
    <w:p w:rsidR="00947700" w:rsidRDefault="00947700" w:rsidP="0094770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47700" w:rsidRPr="00947700" w:rsidRDefault="00947700" w:rsidP="0094770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7700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на тему «Нетрадиционные способы и методы рисования в детском саду».</w:t>
      </w:r>
    </w:p>
    <w:p w:rsidR="00947700" w:rsidRPr="00947700" w:rsidRDefault="00947700" w:rsidP="00947700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Печать листьев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техники печать листами:</w:t>
      </w:r>
    </w:p>
    <w:p w:rsidR="00947700" w:rsidRPr="00947700" w:rsidRDefault="00947700" w:rsidP="0094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Возьмите любой понравившейся листик. И на отдельном листе бумаге хорошо прокрасьте ег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о гуашью</w:t>
      </w:r>
      <w:r>
        <w:rPr>
          <w:rFonts w:ascii="Verdana" w:eastAsia="Times New Roman" w:hAnsi="Verdana" w:cs="Times New Roman"/>
          <w:color w:val="04A6E3"/>
          <w:sz w:val="28"/>
          <w:szCs w:val="28"/>
          <w:u w:val="single"/>
        </w:rPr>
        <w:t xml:space="preserve"> </w:t>
      </w:r>
      <w:r w:rsidRPr="00947700">
        <w:rPr>
          <w:rFonts w:ascii="Verdana" w:eastAsia="Times New Roman" w:hAnsi="Verdana" w:cs="Times New Roman"/>
          <w:sz w:val="28"/>
          <w:szCs w:val="28"/>
          <w:u w:val="single"/>
        </w:rPr>
        <w:t>п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ри помощи кисточки. Старайтесь не оставлять пустых мест и не прокрашенных краев.</w:t>
      </w:r>
    </w:p>
    <w:p w:rsidR="00947700" w:rsidRPr="00947700" w:rsidRDefault="00947700" w:rsidP="0094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Положите листик окрашенной стороной вниз на чистый лист бумаги. Расположите листок черенком вниз и плотно прижмите к бумаге, стараясь его не двигать, иначе изображение получится смазанным.</w:t>
      </w:r>
    </w:p>
    <w:p w:rsidR="00947700" w:rsidRPr="00947700" w:rsidRDefault="00947700" w:rsidP="0094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Аккуратно взять листок за черенок и плавным движением вверх  постепенно отклеить его с альбомного листа.</w:t>
      </w:r>
    </w:p>
    <w:p w:rsidR="00947700" w:rsidRPr="00947700" w:rsidRDefault="00947700" w:rsidP="0094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Следующие листочки можно покрасить в другие цвета, а можно один листик сделать двухцветным. Отпечатайте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из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других местах композиции. Можно взять уже использованный листик и покрасить его в другой цвет, тогда при смешении разных красок может получиться необычный оттенок.</w:t>
      </w:r>
    </w:p>
    <w:p w:rsidR="00947700" w:rsidRPr="00947700" w:rsidRDefault="00947700" w:rsidP="00947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Когда рисунок заполнится отпечатками листиков, кистью дорисовать стволы деревьев, отпечатавшиеся прожилки листиков будут напоминать веточки в цветной кроне.</w:t>
      </w:r>
    </w:p>
    <w:tbl>
      <w:tblPr>
        <w:tblW w:w="6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5"/>
        <w:gridCol w:w="2535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285875"/>
                  <wp:effectExtent l="19050" t="0" r="0" b="0"/>
                  <wp:docPr id="1" name="Рисунок 1" descr="http://kids.moy.su/_si/0/s26878711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moy.su/_si/0/s26878711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362075" cy="1905000"/>
                  <wp:effectExtent l="19050" t="0" r="9525" b="0"/>
                  <wp:docPr id="2" name="Рисунок 2" descr="http://kids.moy.su/_si/0/s86008543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ds.moy.su/_si/0/s86008543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700" w:rsidRPr="00947700" w:rsidRDefault="00947700" w:rsidP="00947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Рисование методом </w:t>
      </w:r>
      <w:proofErr w:type="gramStart"/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тычка</w:t>
      </w:r>
      <w:proofErr w:type="gramEnd"/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Для этого метода достаточно взять любой подходящий предмет, например ватную палочку. Опускаем ватную палочку в краску и точным движением сверху вниз  делаем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тычки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 альбомному листу. Палочка будет оставлять четкий отпечаток. Форма отпечатка будет зависеть от того, какой формы  был выбран предмет для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тычка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. Если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тычок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делать целенаправленно, например, по готовому контуру и внутри него, то изображаемый объект получится интересной неоднородной фактуры. Этим методом можно нарисовать падающий снег, украсить готовый рисунок орнаментом и многое другое.</w:t>
      </w:r>
    </w:p>
    <w:p w:rsid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Пример техники методом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тычка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«Веточка черемухи»: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Гуашью зеленого цвета рисуем длинную основную ветку и несколько коротких  боковых, количество зависит от того сколько цветочных гроздей будет на основной ветке.</w:t>
      </w:r>
    </w:p>
    <w:p w:rsidR="00947700" w:rsidRPr="00947700" w:rsidRDefault="00947700" w:rsidP="00947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От коротких веточек  по бокам зеленым цветом  нарисуем тонкие исходящие веточки для цветочков.</w:t>
      </w:r>
    </w:p>
    <w:p w:rsidR="00947700" w:rsidRPr="00947700" w:rsidRDefault="00947700" w:rsidP="00947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Берем ватную палочку, опускаем в желтый цвет и делаем  желтые серединки у цветочков на конце коротких тонких черенков.</w:t>
      </w:r>
    </w:p>
    <w:p w:rsidR="00947700" w:rsidRPr="00947700" w:rsidRDefault="00947700" w:rsidP="00947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Далее, гуашью белого цвета делаем лепестки – маленькие горошины вокруг желтой серединки. Таким же образом выполнить несколько гроздьев черемухи на основной ветке.</w:t>
      </w:r>
    </w:p>
    <w:p w:rsidR="00947700" w:rsidRPr="00947700" w:rsidRDefault="00947700" w:rsidP="009477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Между гроздьями кистью нарисовать короткие черенки для листиков. На конце каждого черенка нарисовать листик.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3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362075"/>
                  <wp:effectExtent l="19050" t="0" r="0" b="0"/>
                  <wp:docPr id="3" name="Рисунок 3" descr="http://kids.moy.su/_si/0/s70357574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ids.moy.su/_si/0/s70357574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Кляксография</w:t>
      </w:r>
      <w:proofErr w:type="spellEnd"/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 основе этой техники рисования лежит обычная клякса.  В процессе рисования сначала получают спонтанные изображения. Затем ребенок дорисовывает детали, чтобы придать законченность и сходство с реальным образом.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Оказывается, клякса может быть и способом рисования, за который никто не будет ругать, а, наоборот, еще  и похвалят. При этом не нужно мучиться с пером и чернилами, а можно использовать разноцветные кляксы из красок. Если сложить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листик пополам, на одну сторону накапать несколько капель</w:t>
      </w:r>
      <w:r w:rsidRPr="00947700">
        <w:rPr>
          <w:rFonts w:ascii="Verdana" w:eastAsia="Times New Roman" w:hAnsi="Verdana" w:cs="Times New Roman"/>
          <w:color w:val="04A6E3"/>
          <w:sz w:val="28"/>
          <w:szCs w:val="28"/>
          <w:u w:val="single"/>
        </w:rPr>
        <w:t> </w:t>
      </w:r>
      <w:r w:rsidRPr="00947700">
        <w:rPr>
          <w:rFonts w:ascii="Verdana" w:eastAsia="Times New Roman" w:hAnsi="Verdana" w:cs="Times New Roman"/>
          <w:sz w:val="28"/>
          <w:szCs w:val="28"/>
        </w:rPr>
        <w:t>жидкой краски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и плотно прижать другую сторону, то можно получить необычные причудливые узоры. А потом в полученных кляксах постараться рассмотреть деревья, цветы, водоросли. Для начала можно попробовать работать с одной краской, потом с несколькими.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Пример техники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кляксографии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Сложить пополам альбомный лист, тщательно прогладить линию сгиба. Раскрыть лист.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Набрать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побольше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краски на кисточку и капнуть на одну половину листа.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Сложить лист пополам и хорошенько разгладить.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Раскрыть лист и посмотреть, что получилось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Проделать ту же самую операцию  с краской другого цвета, каждый раз капая на чистое место и только на одну из половинок листа.</w:t>
      </w:r>
    </w:p>
    <w:p w:rsidR="00947700" w:rsidRPr="00947700" w:rsidRDefault="00947700" w:rsidP="009477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Посмотреть, что получилось и при необходимости дорисовать детали.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3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343025"/>
                  <wp:effectExtent l="19050" t="0" r="0" b="0"/>
                  <wp:docPr id="4" name="Рисунок 4" descr="http://kids.moy.su/_si/0/s32545502.jpg">
                    <a:hlinkClick xmlns:a="http://schemas.openxmlformats.org/drawingml/2006/main" r:id="rId1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ids.moy.su/_si/0/s32545502.jpg">
                            <a:hlinkClick r:id="rId1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Раздувание краски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Эта техника чем-то похожа на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кляксографию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. Так же как и при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кляксографии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лист бумаги наносят несколько капель жидкой краски, но лист не складывают, а берут трубочку. Можно взять трубочку для коктейля, а можно от обычного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детского сока. Нижний конец трубочки направляют в центр кляксы, а затем с усилие дуют в трубочку и раздувают кляксу от центра в разные стороны. Детям очень нравится, когда у кляксы разбегаются в разные стороны «ножки». На пятно можно воздействовать и управлять им, преобразуя в какой либо задуманный объект, отдельные детали которого дорисовываются обычной кистью или с помощью фломастеров. Усилия по раздуванию краски способствуют активной работе легких.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рисунка и технике раздувания краски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Кисточкой рисуем ствол дерева коричневого цвета.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Над стволом дерева наносим кистью большую каплю яркого цвета (желтую, красную, оранжевую, зеленую), разведенную водой. Если развести сильно, то "ножки" при раздувании будут толстые, если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погуще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- тонкие и аккуратные.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Помещаем в цент капли трубочку и начинаем раздувать в разные стороны, поворачивая лист.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Рядом с первым нанести пятно другого цвета и раздуть его. При этом ножки соседних пятен могут пересекаться и сливаться. Из нескольких пятен изображаем округлую крону дерева. Таким же образом можно выполнить 2-3 дерева.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 дополнение к композиции нарисовать этим же методом ежиков. Пятно черного цвета раздуть в верхней его части. Кистью дорисовать мордочки и лапки. Поверх иголок листик, грибок или яблочко.</w:t>
      </w:r>
    </w:p>
    <w:p w:rsidR="00947700" w:rsidRPr="00947700" w:rsidRDefault="00947700" w:rsidP="009477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Можно дорисовать солнышко и облака.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="004E61D9" w:rsidRPr="004E61D9">
        <w:rPr>
          <w:rFonts w:ascii="Verdana" w:eastAsia="Times New Roman" w:hAnsi="Verdana" w:cs="Times New Roman"/>
          <w:color w:val="000000"/>
          <w:sz w:val="16"/>
          <w:szCs w:val="16"/>
        </w:rPr>
        <w:drawing>
          <wp:inline distT="0" distB="0" distL="0" distR="0">
            <wp:extent cx="1790700" cy="1262443"/>
            <wp:effectExtent l="19050" t="0" r="0" b="0"/>
            <wp:docPr id="22" name="Рисунок 5" descr="http://kids.moy.su/_si/0/s92743988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ds.moy.su/_si/0/s92743988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67" cy="126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Монотипия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Данная техника используется для изображения зеркального отражения объектов на водной глади (пруда, озера, реки и т.д.). Эта техника схожа с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кляксографией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: лист бумаги складывается пополам, на одной половинке рисуются объекты будущего пейзажа и раскрашиваются красками, а после ли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ст скл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адывается пополам и проглаживается. После получения оттиска исходные объекты рисунка оживляются красками повторно, чтобы они имели более четкие контуры, чем их отражения на «водной глади» водоема.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рисунка в технике монотипия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Берем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голубой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  лист. Предварительно белый лист можно закрасить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голубой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краской. В верхней части листа поэтапно нарисовать  гуашью объекты пейзажа: деревья, кустарники, горы, дом, солнце, облака и т.д.</w:t>
      </w:r>
    </w:p>
    <w:p w:rsidR="00947700" w:rsidRPr="00947700" w:rsidRDefault="00947700" w:rsidP="00947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Затем сложить лист по нижней границе перехода рисунка в водную гладь и прижать. Таким образом, получится отражение пейзажа в воде.</w:t>
      </w:r>
    </w:p>
    <w:p w:rsidR="00947700" w:rsidRPr="00947700" w:rsidRDefault="00947700" w:rsidP="00947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Пейзаж на берегу оживить красками, чтобы он был более четкий и яркий чем его отражение в воде. Отражение на воде подкрашивать не надо оно остается слегка размытым.</w:t>
      </w:r>
    </w:p>
    <w:p w:rsidR="00947700" w:rsidRDefault="00947700" w:rsidP="009477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Усложните рисунок, сложите лист на три части, тогда получиться отражение предметов, которые находятся на воде, например, лодка с парусом.</w:t>
      </w:r>
    </w:p>
    <w:p w:rsidR="004E61D9" w:rsidRPr="00947700" w:rsidRDefault="004E61D9" w:rsidP="004E61D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E61D9">
        <w:rPr>
          <w:rFonts w:ascii="Verdana" w:eastAsia="Times New Roman" w:hAnsi="Verdana" w:cs="Times New Roman"/>
          <w:color w:val="000000"/>
          <w:sz w:val="28"/>
          <w:szCs w:val="28"/>
        </w:rPr>
        <w:drawing>
          <wp:inline distT="0" distB="0" distL="0" distR="0">
            <wp:extent cx="1905000" cy="1295400"/>
            <wp:effectExtent l="19050" t="0" r="0" b="0"/>
            <wp:docPr id="23" name="Рисунок 6" descr="http://kids.moy.su/_si/0/s45597876.jpg">
              <a:hlinkClick xmlns:a="http://schemas.openxmlformats.org/drawingml/2006/main" r:id="rId1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ds.moy.su/_si/0/s45597876.jpg">
                      <a:hlinkClick r:id="rId1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Фотокопия – рисование свечой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Для основного рисунка используется любой водоотталкивающий материал: свеча, кусок сухого мыла, белый восковый мелок.  Невидимые контуры не будут окрашиваться при нанесении поверх них акварельной краски, а будут проявляться, как это происходит при проявлении фотопленки.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рисунка в технике фотокопия «Морозный узор»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477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Придумать эскиз будущего узора.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477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Выполнить рисунок на листе при помощи свечи или белого воскового мелка.</w:t>
      </w:r>
    </w:p>
    <w:p w:rsidR="00947700" w:rsidRDefault="00947700" w:rsidP="00947700">
      <w:pPr>
        <w:spacing w:before="100" w:beforeAutospacing="1" w:after="100" w:afterAutospacing="1" w:line="240" w:lineRule="auto"/>
        <w:ind w:left="780" w:hanging="36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94770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Равномерно покрыть рисунок акварелью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голубого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или фиолетового цвета.</w:t>
      </w:r>
    </w:p>
    <w:p w:rsidR="004E61D9" w:rsidRPr="00947700" w:rsidRDefault="004E61D9" w:rsidP="004E61D9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4A6E3"/>
          <w:sz w:val="16"/>
          <w:szCs w:val="16"/>
        </w:rPr>
        <w:drawing>
          <wp:inline distT="0" distB="0" distL="0" distR="0">
            <wp:extent cx="1323213" cy="1752600"/>
            <wp:effectExtent l="19050" t="0" r="0" b="0"/>
            <wp:docPr id="19" name="Рисунок 7" descr="http://kids.moy.su/_si/0/s28597477.jpg">
              <a:hlinkClick xmlns:a="http://schemas.openxmlformats.org/drawingml/2006/main" r:id="rId1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ds.moy.su/_si/0/s28597477.jpg">
                      <a:hlinkClick r:id="rId1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1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700" w:rsidRPr="00947700" w:rsidRDefault="00947700" w:rsidP="004E61D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Проступающий рисунок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Это смешанная техника рисования различными материалами. Основная цель - ознакомиться со свойствами и особенностями материалов. Задуманный сюжет выполняется восковыми карандашами (мелками). Затем поверх рисунка наноситься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акварель. Акварельные краски скатываются с рисунка, и он как бы проявляется.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рисунка «Праздничный салют над городом»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 нижней части рисунка нарисовать восковыми мелками невысокие дома или только крыши. Раскрасить их. Хорошо нажимайте на </w:t>
      </w:r>
      <w:r w:rsidRPr="00947700">
        <w:rPr>
          <w:rFonts w:ascii="Verdana" w:eastAsia="Times New Roman" w:hAnsi="Verdana" w:cs="Times New Roman"/>
          <w:sz w:val="28"/>
          <w:szCs w:val="28"/>
        </w:rPr>
        <w:t>восковый мелок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, чтобы след был четким и ярким.</w:t>
      </w:r>
    </w:p>
    <w:p w:rsidR="00947700" w:rsidRPr="00947700" w:rsidRDefault="00947700" w:rsidP="00947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На оставшейся части листа нарисовать разноцветные пучки салюта в виде кругов, веера, фонтана и т.д. На концах лучей нарисовать огоньки в виде звездочек, кружочков, снежинок.</w:t>
      </w:r>
    </w:p>
    <w:p w:rsidR="00947700" w:rsidRPr="00947700" w:rsidRDefault="00947700" w:rsidP="0094770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Покрыть готовую композицию черной </w:t>
      </w:r>
      <w:r w:rsidRPr="00947700">
        <w:rPr>
          <w:rFonts w:ascii="Verdana" w:eastAsia="Times New Roman" w:hAnsi="Verdana" w:cs="Times New Roman"/>
          <w:sz w:val="28"/>
          <w:szCs w:val="28"/>
        </w:rPr>
        <w:t>акварелью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(фиолетовой, темно-синей).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3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352550"/>
                  <wp:effectExtent l="19050" t="0" r="0" b="0"/>
                  <wp:docPr id="8" name="Рисунок 8" descr="http://kids.moy.su/_si/0/s16225204.jpg">
                    <a:hlinkClick xmlns:a="http://schemas.openxmlformats.org/drawingml/2006/main" r:id="rId2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ids.moy.su/_si/0/s16225204.jpg">
                            <a:hlinkClick r:id="rId2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1D9" w:rsidRDefault="004E61D9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4E61D9" w:rsidRDefault="004E61D9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4E61D9" w:rsidRDefault="004E61D9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4E61D9" w:rsidRDefault="004E61D9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Техника выполнения витражей – клеевые картинки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Контур будущего рисунка  делается клеем  ПВА  из флакона с дозированным носиком. Предварительно эскиз можно нарисовать простым карандашом. Затем границы контура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обязательно должны высохнуть. После этого пространство между контурами раскрашивается яркими красками. Клеевые границы не позволяют краске растекаться и смешиваться.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витража: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Простым карандашом без нажима разделить лист пересекающимися линиями в разных направлениях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,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обязательно от края до края (конструкция снежинки).</w:t>
      </w:r>
    </w:p>
    <w:p w:rsidR="00947700" w:rsidRPr="00947700" w:rsidRDefault="00947700" w:rsidP="00947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Провести линии от концов получившейся снежинки к середине каждого луча, чтобы получились окошечки – «кусочки стеклышек».</w:t>
      </w:r>
    </w:p>
    <w:p w:rsidR="00947700" w:rsidRPr="00947700" w:rsidRDefault="00947700" w:rsidP="00947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Обвести контур клеем ПВА и дать высохнуть.</w:t>
      </w:r>
    </w:p>
    <w:p w:rsidR="00947700" w:rsidRPr="00947700" w:rsidRDefault="00947700" w:rsidP="0094770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Раскрасить пространство между клеевыми границами яркими красками.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Каракулеграфия</w:t>
      </w:r>
      <w:proofErr w:type="spellEnd"/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Если на листе изобразить недорисованный контур предмета или какие-нибудь каракули, то можно увидеть в них какие-то объекты.  Если дорисовать и дополнить эти объекты, то получится целостный узнаваемый объект. По сложности задач развивающих представление и зрительную память, этот способ обучения наиболее сложный, так как требует определенного уровня развития воображения, опыта, наблюдений.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При первоначальном знакомстве с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каракулеграфией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разумнее предложить ребенку лист с каракулями (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полуконтуры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с изображением знакомых зверушек). Если ребенок будет испытывать затруднение  в узнавании объектов, можно использовать наводящие вопросы, загадки.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рисунка: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</w:t>
      </w:r>
    </w:p>
    <w:p w:rsidR="00947700" w:rsidRPr="00947700" w:rsidRDefault="00947700" w:rsidP="00947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Внимательно рассмотреть незаконченный контур, определить недостающие элементы предмета.</w:t>
      </w:r>
    </w:p>
    <w:p w:rsidR="00947700" w:rsidRPr="00947700" w:rsidRDefault="00947700" w:rsidP="00947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Дорисовать простым карандашом недостающие детали объекта.</w:t>
      </w:r>
    </w:p>
    <w:p w:rsidR="00947700" w:rsidRPr="00947700" w:rsidRDefault="00947700" w:rsidP="00947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Раскрасить готовый рисунок.</w:t>
      </w:r>
    </w:p>
    <w:p w:rsidR="00947700" w:rsidRPr="00947700" w:rsidRDefault="00947700" w:rsidP="0094770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По желанию дополнить композицию тематическими элементами.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tbl>
      <w:tblPr>
        <w:tblW w:w="3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381125"/>
                  <wp:effectExtent l="19050" t="0" r="0" b="0"/>
                  <wp:docPr id="9" name="Рисунок 9" descr="http://kids.moy.su/_si/0/s31787560.jpg">
                    <a:hlinkClick xmlns:a="http://schemas.openxmlformats.org/drawingml/2006/main" r:id="rId2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ids.moy.su/_si/0/s31787560.jpg">
                            <a:hlinkClick r:id="rId2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1D9" w:rsidRDefault="004E61D9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Шаблонография</w:t>
      </w:r>
      <w:proofErr w:type="spellEnd"/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Чтобы нарисовать предмет в этой технике, необходимо представить из каких геометрических фигур он состоит. Каждый сложный предмет можно изобразить при помощи простых составляющих: треугольников, кругов, квадратов, овалов и прямоугольников. Данная техника предполагает </w:t>
      </w:r>
      <w:proofErr w:type="spell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обрисовывание</w:t>
      </w:r>
      <w:proofErr w:type="spell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заранее приготовленных шаблонов геометрических фигур -  с целью составить и изобразить отдельный объект или сюжетную картинку.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Рисуем по шаблону: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47700" w:rsidRPr="00947700" w:rsidRDefault="00947700" w:rsidP="00947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Продумать содержание рисунка.</w:t>
      </w:r>
    </w:p>
    <w:p w:rsidR="00947700" w:rsidRPr="00947700" w:rsidRDefault="00947700" w:rsidP="00947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Начинать создание объекта в следующей последовательности: </w:t>
      </w:r>
      <w:proofErr w:type="gramStart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в начале</w:t>
      </w:r>
      <w:proofErr w:type="gramEnd"/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 нужно обрисовать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основную, самую крупную, форму и только потом переходить к деталям.</w:t>
      </w:r>
    </w:p>
    <w:p w:rsidR="00947700" w:rsidRPr="00947700" w:rsidRDefault="00947700" w:rsidP="00947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Простым карандашом обрисовать геометрические формы, чтобы готовое изображение составляло единое целое.</w:t>
      </w:r>
    </w:p>
    <w:p w:rsidR="00947700" w:rsidRPr="00947700" w:rsidRDefault="00947700" w:rsidP="0094770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Готовую композицию выполнить  в цвете.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tbl>
      <w:tblPr>
        <w:tblW w:w="300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4A6E3"/>
                <w:sz w:val="16"/>
                <w:szCs w:val="16"/>
              </w:rPr>
              <w:drawing>
                <wp:inline distT="0" distB="0" distL="0" distR="0">
                  <wp:extent cx="1905000" cy="1304925"/>
                  <wp:effectExtent l="19050" t="0" r="0" b="0"/>
                  <wp:docPr id="10" name="Рисунок 10" descr="http://kids.moy.su/_si/0/s90667662.jpg">
                    <a:hlinkClick xmlns:a="http://schemas.openxmlformats.org/drawingml/2006/main" r:id="rId2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ids.moy.su/_si/0/s90667662.jpg">
                            <a:hlinkClick r:id="rId2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700" w:rsidRPr="00947700" w:rsidRDefault="00947700" w:rsidP="009477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Ожившие предметы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4770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Частью любого творческого процесса является умение видеть мир образно, с присущей только ребенку детской непосредственностью, с верой в чудеса на эмоционально-чувствительном уровне. Этот способ рисования строится на имеющемся уже изобразительном опыте, умению выражать свое отношение к рисуемому объекту различными способами и выразительными средствами через цвет, линии, передачу характерных поз, мимики. Пусть ребенок пофантазирует и представит себе, что самые обыкновенные вещи, которые нас окружают, вдруг ожили.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4E61D9" w:rsidRDefault="004E61D9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4E61D9" w:rsidRDefault="004E61D9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>Пример рисования: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t xml:space="preserve">Предложите ребенку нарисовать разные вещи из любой предметной группы (овощи, фрукты, одежда, предметы быта, посуда, растения и т. д.), которые вдруг ожили.  При рисовании нужно сохранить форму рисуемых объектов и </w:t>
      </w:r>
      <w:r w:rsidRPr="00947700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придать им человеческий облик, нарисовав глаза, рот, нос, ножки, ручки, разные детали одежды. </w:t>
      </w:r>
    </w:p>
    <w:p w:rsidR="00947700" w:rsidRPr="00947700" w:rsidRDefault="00947700" w:rsidP="009477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6150" w:type="dxa"/>
        <w:tblCellSpacing w:w="15" w:type="dxa"/>
        <w:tblBorders>
          <w:top w:val="outset" w:sz="48" w:space="0" w:color="FFF200"/>
          <w:left w:val="outset" w:sz="48" w:space="0" w:color="FFF200"/>
          <w:bottom w:val="outset" w:sz="48" w:space="0" w:color="FFF200"/>
          <w:right w:val="outset" w:sz="48" w:space="0" w:color="FFF200"/>
        </w:tblBorders>
        <w:shd w:val="clear" w:color="auto" w:fill="FFFF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</w:tblGrid>
      <w:tr w:rsidR="00947700" w:rsidRPr="00947700" w:rsidTr="00947700">
        <w:trPr>
          <w:tblCellSpacing w:w="15" w:type="dxa"/>
        </w:trPr>
        <w:tc>
          <w:tcPr>
            <w:tcW w:w="0" w:type="auto"/>
            <w:tcBorders>
              <w:top w:val="outset" w:sz="6" w:space="0" w:color="FFF200"/>
              <w:left w:val="outset" w:sz="6" w:space="0" w:color="FFF200"/>
              <w:bottom w:val="outset" w:sz="6" w:space="0" w:color="FFF200"/>
              <w:right w:val="outset" w:sz="6" w:space="0" w:color="FFF200"/>
            </w:tcBorders>
            <w:shd w:val="clear" w:color="auto" w:fill="FFFFDA"/>
            <w:vAlign w:val="center"/>
            <w:hideMark/>
          </w:tcPr>
          <w:p w:rsidR="00947700" w:rsidRPr="00947700" w:rsidRDefault="00947700" w:rsidP="009477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D174A5" w:rsidRPr="00D174A5" w:rsidRDefault="00947700" w:rsidP="00D17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4A6E3"/>
          <w:sz w:val="16"/>
          <w:szCs w:val="16"/>
        </w:rPr>
        <w:drawing>
          <wp:inline distT="0" distB="0" distL="0" distR="0">
            <wp:extent cx="3810000" cy="2628900"/>
            <wp:effectExtent l="19050" t="0" r="0" b="0"/>
            <wp:docPr id="14" name="Рисунок 11" descr="http://kids.moy.su/_si/0/s05625353.jpg">
              <a:hlinkClick xmlns:a="http://schemas.openxmlformats.org/drawingml/2006/main" r:id="rId2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ds.moy.su/_si/0/s05625353.jpg">
                      <a:hlinkClick r:id="rId2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4A5" w:rsidRPr="00D1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038"/>
    <w:multiLevelType w:val="multilevel"/>
    <w:tmpl w:val="30B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02EF4"/>
    <w:multiLevelType w:val="multilevel"/>
    <w:tmpl w:val="179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04DBB"/>
    <w:multiLevelType w:val="multilevel"/>
    <w:tmpl w:val="6D7C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233A9D"/>
    <w:multiLevelType w:val="multilevel"/>
    <w:tmpl w:val="B29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F50D1"/>
    <w:multiLevelType w:val="multilevel"/>
    <w:tmpl w:val="475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0754B"/>
    <w:multiLevelType w:val="multilevel"/>
    <w:tmpl w:val="0FC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8958D4"/>
    <w:multiLevelType w:val="multilevel"/>
    <w:tmpl w:val="118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CB07DB"/>
    <w:multiLevelType w:val="multilevel"/>
    <w:tmpl w:val="AFB4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AE01DF"/>
    <w:multiLevelType w:val="multilevel"/>
    <w:tmpl w:val="002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4A5"/>
    <w:rsid w:val="004E61D9"/>
    <w:rsid w:val="00947700"/>
    <w:rsid w:val="00D1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7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700"/>
  </w:style>
  <w:style w:type="paragraph" w:styleId="a4">
    <w:name w:val="Balloon Text"/>
    <w:basedOn w:val="a"/>
    <w:link w:val="a5"/>
    <w:uiPriority w:val="99"/>
    <w:semiHidden/>
    <w:unhideWhenUsed/>
    <w:rsid w:val="009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moy.su/_si/0/8600854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ids.moy.su/_si/0/28597477.jpg" TargetMode="External"/><Relationship Id="rId26" Type="http://schemas.openxmlformats.org/officeDocument/2006/relationships/hyperlink" Target="http://kids.moy.su/_si/0/05625353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kids.moy.su/_si/0/32545502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://kids.moy.su/_si/0/45597876.jpg" TargetMode="External"/><Relationship Id="rId20" Type="http://schemas.openxmlformats.org/officeDocument/2006/relationships/hyperlink" Target="http://kids.moy.su/_si/0/16225204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ds.moy.su/_si/0/2687871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kids.moy.su/_si/0/9066766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http://kids.moy.su/_si/0/70357574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ids.moy.su/_si/0/92743988.jpg" TargetMode="External"/><Relationship Id="rId22" Type="http://schemas.openxmlformats.org/officeDocument/2006/relationships/hyperlink" Target="http://kids.moy.su/_si/0/31787560.jpg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3E2C-8244-4595-8A44-729B1899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2016-03-20T15:17:00Z</dcterms:created>
  <dcterms:modified xsi:type="dcterms:W3CDTF">2016-03-20T15:17:00Z</dcterms:modified>
</cp:coreProperties>
</file>